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2E9A" w14:textId="78FEBF07" w:rsidR="00AF4AFE" w:rsidRPr="00857F0A" w:rsidRDefault="007E18DE" w:rsidP="0097729E">
      <w:pPr>
        <w:rPr>
          <w:rFonts w:ascii="Calibri" w:hAnsi="Calibri"/>
        </w:rPr>
      </w:pPr>
      <w:r w:rsidRPr="00A6492E">
        <w:rPr>
          <w:noProof/>
          <w:sz w:val="20"/>
          <w:lang w:val="en-GB"/>
        </w:rPr>
        <w:drawing>
          <wp:anchor distT="0" distB="0" distL="114300" distR="114300" simplePos="0" relativeHeight="251658240" behindDoc="0" locked="0" layoutInCell="1" allowOverlap="1" wp14:anchorId="6FD10A20" wp14:editId="12425F96">
            <wp:simplePos x="0" y="0"/>
            <wp:positionH relativeFrom="column">
              <wp:posOffset>4413250</wp:posOffset>
            </wp:positionH>
            <wp:positionV relativeFrom="paragraph">
              <wp:posOffset>0</wp:posOffset>
            </wp:positionV>
            <wp:extent cx="2276474" cy="714375"/>
            <wp:effectExtent l="0" t="0" r="0" b="0"/>
            <wp:wrapSquare wrapText="bothSides"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7319C" w14:textId="2097C21E" w:rsidR="007E18DE" w:rsidRDefault="007E18DE" w:rsidP="00857F0A">
      <w:pPr>
        <w:jc w:val="center"/>
        <w:rPr>
          <w:rFonts w:ascii="Calibri" w:hAnsi="Calibri"/>
          <w:b/>
          <w:sz w:val="28"/>
          <w:szCs w:val="28"/>
        </w:rPr>
      </w:pPr>
    </w:p>
    <w:p w14:paraId="48420275" w14:textId="77777777" w:rsidR="007E18DE" w:rsidRDefault="007E18DE" w:rsidP="00857F0A">
      <w:pPr>
        <w:jc w:val="center"/>
        <w:rPr>
          <w:rFonts w:ascii="Calibri" w:hAnsi="Calibri"/>
          <w:b/>
          <w:sz w:val="28"/>
          <w:szCs w:val="28"/>
        </w:rPr>
      </w:pPr>
    </w:p>
    <w:p w14:paraId="682E9D05" w14:textId="77777777" w:rsidR="007E18DE" w:rsidRDefault="007E18DE" w:rsidP="007E18DE">
      <w:pPr>
        <w:rPr>
          <w:rFonts w:ascii="Calibri" w:hAnsi="Calibri"/>
          <w:b/>
          <w:sz w:val="28"/>
          <w:szCs w:val="28"/>
        </w:rPr>
      </w:pPr>
    </w:p>
    <w:p w14:paraId="135C2E9B" w14:textId="24991836" w:rsidR="00AF4AFE" w:rsidRPr="00857F0A" w:rsidRDefault="007E18DE" w:rsidP="007E18D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AF4AFE" w:rsidRPr="00857F0A">
        <w:rPr>
          <w:rFonts w:ascii="Calibri" w:hAnsi="Calibri"/>
          <w:b/>
          <w:sz w:val="28"/>
          <w:szCs w:val="28"/>
        </w:rPr>
        <w:t>JOB DESCRIPTION</w:t>
      </w:r>
    </w:p>
    <w:p w14:paraId="135C2E9C" w14:textId="77777777" w:rsidR="00AF4AFE" w:rsidRPr="00857F0A" w:rsidRDefault="00505421" w:rsidP="00857F0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Postdoctoral Research Associate</w:t>
      </w:r>
    </w:p>
    <w:p w14:paraId="135C2E9D" w14:textId="77777777" w:rsidR="00AF4AFE" w:rsidRPr="00706079" w:rsidRDefault="00AF4AFE" w:rsidP="00B9255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706079">
        <w:rPr>
          <w:rFonts w:ascii="Calibri" w:hAnsi="Calibri"/>
          <w:b/>
          <w:sz w:val="28"/>
          <w:szCs w:val="28"/>
        </w:rPr>
        <w:t xml:space="preserve">Vacancy Ref: </w:t>
      </w:r>
      <w:r w:rsidRPr="006A0657">
        <w:rPr>
          <w:rFonts w:ascii="Calibri" w:hAnsi="Calibri"/>
          <w:b/>
          <w:sz w:val="28"/>
          <w:szCs w:val="28"/>
        </w:rPr>
        <w:t>***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5"/>
        <w:gridCol w:w="3214"/>
      </w:tblGrid>
      <w:tr w:rsidR="00AF4AFE" w:rsidRPr="00706079" w14:paraId="135C2EA0" w14:textId="77777777" w:rsidTr="000D364C">
        <w:tc>
          <w:tcPr>
            <w:tcW w:w="7308" w:type="dxa"/>
            <w:vAlign w:val="center"/>
          </w:tcPr>
          <w:p w14:paraId="135C2E9E" w14:textId="77777777" w:rsidR="00AF4AFE" w:rsidRPr="00706079" w:rsidRDefault="00AF4AFE" w:rsidP="00505421">
            <w:pPr>
              <w:jc w:val="left"/>
              <w:rPr>
                <w:rFonts w:ascii="Calibri" w:hAnsi="Calibri"/>
              </w:rPr>
            </w:pPr>
            <w:r w:rsidRPr="00706079">
              <w:rPr>
                <w:rFonts w:ascii="Calibri" w:hAnsi="Calibri"/>
                <w:b/>
              </w:rPr>
              <w:t>Job Title:</w:t>
            </w:r>
            <w:r w:rsidR="00041409" w:rsidRPr="00706079">
              <w:rPr>
                <w:rFonts w:ascii="Calibri" w:hAnsi="Calibri"/>
              </w:rPr>
              <w:t xml:space="preserve"> </w:t>
            </w:r>
            <w:r w:rsidR="00505421" w:rsidRPr="00706079">
              <w:rPr>
                <w:rFonts w:ascii="Calibri" w:hAnsi="Calibri"/>
              </w:rPr>
              <w:t>Postdoctoral Research Associate</w:t>
            </w:r>
          </w:p>
        </w:tc>
        <w:tc>
          <w:tcPr>
            <w:tcW w:w="3240" w:type="dxa"/>
            <w:vAlign w:val="center"/>
          </w:tcPr>
          <w:p w14:paraId="135C2E9F" w14:textId="64B9C360" w:rsidR="00AF4AFE" w:rsidRPr="00706079" w:rsidRDefault="00AF4AFE" w:rsidP="003F6065">
            <w:pPr>
              <w:rPr>
                <w:rFonts w:ascii="Calibri" w:hAnsi="Calibri"/>
              </w:rPr>
            </w:pPr>
            <w:r w:rsidRPr="00706079">
              <w:rPr>
                <w:rFonts w:ascii="Calibri" w:hAnsi="Calibri"/>
                <w:b/>
              </w:rPr>
              <w:t>Present Grade:</w:t>
            </w:r>
            <w:r w:rsidR="002D332D" w:rsidRPr="00706079">
              <w:rPr>
                <w:rFonts w:ascii="Calibri" w:hAnsi="Calibri"/>
                <w:b/>
              </w:rPr>
              <w:t xml:space="preserve"> </w:t>
            </w:r>
            <w:r w:rsidR="002D332D" w:rsidRPr="006A0657">
              <w:rPr>
                <w:rFonts w:ascii="Calibri" w:hAnsi="Calibri"/>
                <w:b/>
              </w:rPr>
              <w:t>6</w:t>
            </w:r>
            <w:r w:rsidR="003F6065">
              <w:rPr>
                <w:rFonts w:ascii="Calibri" w:hAnsi="Calibri"/>
                <w:b/>
              </w:rPr>
              <w:t>S</w:t>
            </w:r>
          </w:p>
        </w:tc>
      </w:tr>
      <w:tr w:rsidR="00AF4AFE" w:rsidRPr="00706079" w14:paraId="135C2EA2" w14:textId="77777777" w:rsidTr="00B9255A">
        <w:trPr>
          <w:trHeight w:val="278"/>
        </w:trPr>
        <w:tc>
          <w:tcPr>
            <w:tcW w:w="10548" w:type="dxa"/>
            <w:gridSpan w:val="2"/>
            <w:vAlign w:val="center"/>
          </w:tcPr>
          <w:p w14:paraId="135C2EA1" w14:textId="77777777" w:rsidR="00AF4AFE" w:rsidRPr="00706079" w:rsidRDefault="00AF4AFE" w:rsidP="008176E6">
            <w:pPr>
              <w:rPr>
                <w:rFonts w:ascii="Calibri" w:hAnsi="Calibri"/>
              </w:rPr>
            </w:pPr>
            <w:r w:rsidRPr="00706079">
              <w:rPr>
                <w:rFonts w:ascii="Calibri" w:hAnsi="Calibri"/>
                <w:b/>
              </w:rPr>
              <w:t>Department/College:</w:t>
            </w:r>
            <w:r w:rsidRPr="00706079">
              <w:rPr>
                <w:rFonts w:ascii="Calibri" w:hAnsi="Calibri"/>
              </w:rPr>
              <w:tab/>
            </w:r>
            <w:r w:rsidRPr="00706079">
              <w:rPr>
                <w:rFonts w:ascii="Calibri" w:hAnsi="Calibri"/>
              </w:rPr>
              <w:tab/>
            </w:r>
            <w:r w:rsidRPr="00706079">
              <w:rPr>
                <w:rFonts w:ascii="Calibri" w:hAnsi="Calibri" w:cs="Tahoma"/>
              </w:rPr>
              <w:t>Lancaster Environment Centre</w:t>
            </w:r>
            <w:r w:rsidR="001A73C0" w:rsidRPr="00706079">
              <w:rPr>
                <w:rFonts w:ascii="Calibri" w:hAnsi="Calibri" w:cs="Tahoma"/>
              </w:rPr>
              <w:t xml:space="preserve"> (LEC)</w:t>
            </w:r>
          </w:p>
        </w:tc>
      </w:tr>
      <w:tr w:rsidR="00AF4AFE" w:rsidRPr="00706079" w14:paraId="135C2EA4" w14:textId="77777777" w:rsidTr="000D364C">
        <w:tc>
          <w:tcPr>
            <w:tcW w:w="10548" w:type="dxa"/>
            <w:gridSpan w:val="2"/>
            <w:vAlign w:val="center"/>
          </w:tcPr>
          <w:p w14:paraId="135C2EA3" w14:textId="77777777" w:rsidR="00AF4AFE" w:rsidRPr="00706079" w:rsidRDefault="00AF4AFE" w:rsidP="00A274F5">
            <w:pPr>
              <w:rPr>
                <w:rFonts w:ascii="Calibri" w:hAnsi="Calibri"/>
              </w:rPr>
            </w:pPr>
            <w:r w:rsidRPr="00706079">
              <w:rPr>
                <w:rFonts w:ascii="Calibri" w:hAnsi="Calibri"/>
                <w:b/>
              </w:rPr>
              <w:t>Directly responsible to:</w:t>
            </w:r>
            <w:r w:rsidRPr="00706079">
              <w:rPr>
                <w:rFonts w:ascii="Calibri" w:hAnsi="Calibri"/>
              </w:rPr>
              <w:tab/>
              <w:t xml:space="preserve">              </w:t>
            </w:r>
            <w:r w:rsidR="00E67797" w:rsidRPr="00706079">
              <w:rPr>
                <w:rFonts w:ascii="Calibri" w:hAnsi="Calibri"/>
              </w:rPr>
              <w:t xml:space="preserve">Dr </w:t>
            </w:r>
            <w:r w:rsidR="00F21ED5" w:rsidRPr="00706079">
              <w:rPr>
                <w:rFonts w:ascii="Calibri" w:hAnsi="Calibri"/>
              </w:rPr>
              <w:t>Manoj Roy</w:t>
            </w:r>
            <w:r w:rsidR="001A73C0" w:rsidRPr="00706079">
              <w:rPr>
                <w:rFonts w:ascii="Calibri" w:hAnsi="Calibri"/>
              </w:rPr>
              <w:t xml:space="preserve"> and Prof </w:t>
            </w:r>
            <w:r w:rsidR="00A274F5">
              <w:rPr>
                <w:rFonts w:ascii="Calibri" w:hAnsi="Calibri"/>
              </w:rPr>
              <w:t>Phil Barker</w:t>
            </w:r>
            <w:r w:rsidR="00B9255A" w:rsidRPr="00706079">
              <w:rPr>
                <w:rFonts w:ascii="Calibri" w:hAnsi="Calibri"/>
              </w:rPr>
              <w:t xml:space="preserve"> </w:t>
            </w:r>
            <w:r w:rsidR="008B0F1C">
              <w:rPr>
                <w:rFonts w:ascii="Calibri" w:hAnsi="Calibri"/>
              </w:rPr>
              <w:t>(LEC)</w:t>
            </w:r>
          </w:p>
        </w:tc>
      </w:tr>
      <w:tr w:rsidR="00AF4AFE" w:rsidRPr="00706079" w14:paraId="135C2EA6" w14:textId="77777777" w:rsidTr="000D364C">
        <w:tc>
          <w:tcPr>
            <w:tcW w:w="10548" w:type="dxa"/>
            <w:gridSpan w:val="2"/>
            <w:vAlign w:val="center"/>
          </w:tcPr>
          <w:p w14:paraId="135C2EA5" w14:textId="77777777" w:rsidR="00AF4AFE" w:rsidRPr="00706079" w:rsidRDefault="00AF4AFE" w:rsidP="00505421">
            <w:pPr>
              <w:rPr>
                <w:rFonts w:ascii="Calibri" w:hAnsi="Calibri"/>
              </w:rPr>
            </w:pPr>
            <w:r w:rsidRPr="00706079">
              <w:rPr>
                <w:rFonts w:ascii="Calibri" w:hAnsi="Calibri"/>
                <w:b/>
              </w:rPr>
              <w:t>Supervisory responsibility for:</w:t>
            </w:r>
            <w:r w:rsidRPr="00706079">
              <w:rPr>
                <w:rFonts w:ascii="Calibri" w:hAnsi="Calibri"/>
              </w:rPr>
              <w:tab/>
            </w:r>
            <w:r w:rsidR="00505421" w:rsidRPr="00706079">
              <w:rPr>
                <w:rFonts w:ascii="Calibri" w:hAnsi="Calibri" w:cs="Tahoma"/>
                <w:szCs w:val="22"/>
              </w:rPr>
              <w:t>N/A</w:t>
            </w:r>
          </w:p>
        </w:tc>
      </w:tr>
      <w:tr w:rsidR="00AF4AFE" w:rsidRPr="00706079" w14:paraId="135C2EA8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135C2EA7" w14:textId="77777777" w:rsidR="00AF4AFE" w:rsidRPr="00706079" w:rsidRDefault="00AF4AFE" w:rsidP="00857F0A">
            <w:pPr>
              <w:rPr>
                <w:rFonts w:ascii="Calibri" w:hAnsi="Calibri"/>
                <w:b/>
              </w:rPr>
            </w:pPr>
            <w:r w:rsidRPr="00706079">
              <w:rPr>
                <w:rFonts w:ascii="Calibri" w:hAnsi="Calibri"/>
                <w:b/>
              </w:rPr>
              <w:t>Other contacts</w:t>
            </w:r>
          </w:p>
        </w:tc>
      </w:tr>
      <w:tr w:rsidR="00AF4AFE" w:rsidRPr="00706079" w14:paraId="135C2EAA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C2EA9" w14:textId="41109947" w:rsidR="00AF4AFE" w:rsidRPr="00706079" w:rsidRDefault="00AF4AFE" w:rsidP="002462C3">
            <w:pPr>
              <w:jc w:val="left"/>
              <w:rPr>
                <w:rFonts w:ascii="Calibri" w:hAnsi="Calibri"/>
              </w:rPr>
            </w:pPr>
            <w:r w:rsidRPr="00706079">
              <w:rPr>
                <w:rFonts w:ascii="Calibri" w:hAnsi="Calibri"/>
                <w:b/>
              </w:rPr>
              <w:t>Internal:</w:t>
            </w:r>
            <w:r w:rsidR="001A73C0" w:rsidRPr="00706079">
              <w:rPr>
                <w:rFonts w:ascii="Calibri" w:hAnsi="Calibri"/>
                <w:b/>
              </w:rPr>
              <w:t xml:space="preserve"> </w:t>
            </w:r>
            <w:r w:rsidR="00505421" w:rsidRPr="00706079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AF4AFE" w:rsidRPr="00706079" w14:paraId="135C2EAC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135C2EAB" w14:textId="7D4A9BD7" w:rsidR="00505421" w:rsidRPr="00706079" w:rsidRDefault="00AF4AFE" w:rsidP="002462C3">
            <w:pPr>
              <w:spacing w:after="120"/>
              <w:jc w:val="left"/>
              <w:rPr>
                <w:rFonts w:ascii="Calibri" w:hAnsi="Calibri"/>
                <w:bCs/>
              </w:rPr>
            </w:pPr>
            <w:r w:rsidRPr="00706079">
              <w:rPr>
                <w:rFonts w:ascii="Calibri" w:hAnsi="Calibri"/>
                <w:b/>
              </w:rPr>
              <w:t>External:</w:t>
            </w:r>
            <w:r w:rsidR="001A73C0" w:rsidRPr="00706079">
              <w:rPr>
                <w:rFonts w:ascii="Calibri" w:hAnsi="Calibri"/>
              </w:rPr>
              <w:t xml:space="preserve"> </w:t>
            </w:r>
            <w:r w:rsidR="008176E6">
              <w:rPr>
                <w:rFonts w:ascii="Calibri" w:hAnsi="Calibri"/>
              </w:rPr>
              <w:t>Living Deltas Hub’s extended research partners and stakeholders in UK and delta countries.</w:t>
            </w:r>
          </w:p>
        </w:tc>
      </w:tr>
      <w:tr w:rsidR="00AF4AFE" w:rsidRPr="00857F0A" w14:paraId="135C2EBC" w14:textId="77777777" w:rsidTr="000D364C">
        <w:tc>
          <w:tcPr>
            <w:tcW w:w="10548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3"/>
            </w:tblGrid>
            <w:tr w:rsidR="001A73C0" w:rsidRPr="00BA3DA4" w14:paraId="135C2EBA" w14:textId="77777777">
              <w:trPr>
                <w:trHeight w:val="4877"/>
              </w:trPr>
              <w:tc>
                <w:tcPr>
                  <w:tcW w:w="0" w:type="auto"/>
                </w:tcPr>
                <w:p w14:paraId="135C2EAD" w14:textId="77777777" w:rsidR="001A73C0" w:rsidRPr="00BA3DA4" w:rsidRDefault="001A73C0" w:rsidP="008B0F1C">
                  <w:pPr>
                    <w:pStyle w:val="Default"/>
                    <w:spacing w:after="120"/>
                    <w:ind w:left="-108"/>
                    <w:rPr>
                      <w:sz w:val="22"/>
                      <w:szCs w:val="22"/>
                    </w:rPr>
                  </w:pPr>
                  <w:r w:rsidRPr="00BA3DA4">
                    <w:rPr>
                      <w:b/>
                      <w:bCs/>
                      <w:sz w:val="22"/>
                      <w:szCs w:val="22"/>
                    </w:rPr>
                    <w:t xml:space="preserve">Major Duties: </w:t>
                  </w:r>
                </w:p>
                <w:p w14:paraId="135C2EAE" w14:textId="05A633FA" w:rsidR="008B0F1C" w:rsidRPr="00BA3DA4" w:rsidRDefault="008176E6" w:rsidP="008B0F1C">
                  <w:pPr>
                    <w:pStyle w:val="Default"/>
                    <w:spacing w:after="120"/>
                    <w:ind w:left="-10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This </w:t>
                  </w:r>
                  <w:proofErr w:type="gramStart"/>
                  <w:r w:rsidRPr="00BA3DA4">
                    <w:rPr>
                      <w:sz w:val="22"/>
                      <w:szCs w:val="22"/>
                    </w:rPr>
                    <w:t>high profile</w:t>
                  </w:r>
                  <w:proofErr w:type="gramEnd"/>
                  <w:r w:rsidRPr="00BA3DA4">
                    <w:rPr>
                      <w:sz w:val="22"/>
                      <w:szCs w:val="22"/>
                    </w:rPr>
                    <w:t xml:space="preserve"> role will be an important member of </w:t>
                  </w:r>
                  <w:r w:rsidR="001635EB" w:rsidRPr="00BA3DA4">
                    <w:rPr>
                      <w:sz w:val="22"/>
                      <w:szCs w:val="22"/>
                    </w:rPr>
                    <w:t>the</w:t>
                  </w:r>
                  <w:r w:rsidRPr="00BA3DA4">
                    <w:rPr>
                      <w:sz w:val="22"/>
                      <w:szCs w:val="22"/>
                    </w:rPr>
                    <w:t xml:space="preserve"> </w:t>
                  </w:r>
                  <w:r w:rsidR="001635EB" w:rsidRPr="00BA3DA4">
                    <w:rPr>
                      <w:sz w:val="22"/>
                      <w:szCs w:val="22"/>
                    </w:rPr>
                    <w:t xml:space="preserve">UKRI GCRF Living Deltas </w:t>
                  </w:r>
                  <w:r w:rsidR="008B0F1C" w:rsidRPr="00BA3DA4">
                    <w:rPr>
                      <w:sz w:val="22"/>
                      <w:szCs w:val="22"/>
                    </w:rPr>
                    <w:t>Hub</w:t>
                  </w:r>
                  <w:r w:rsidR="001635EB" w:rsidRPr="00BA3DA4">
                    <w:rPr>
                      <w:sz w:val="22"/>
                      <w:szCs w:val="22"/>
                    </w:rPr>
                    <w:t xml:space="preserve"> </w:t>
                  </w:r>
                  <w:r w:rsidRPr="00BA3DA4">
                    <w:rPr>
                      <w:sz w:val="22"/>
                      <w:szCs w:val="22"/>
                    </w:rPr>
                    <w:t>exploring social and natural impacts facing three Asian river deltas. The</w:t>
                  </w:r>
                  <w:r w:rsidR="008B0F1C" w:rsidRPr="00BA3DA4">
                    <w:rPr>
                      <w:sz w:val="22"/>
                      <w:szCs w:val="22"/>
                    </w:rPr>
                    <w:t xml:space="preserve"> Hub,</w:t>
                  </w:r>
                  <w:r w:rsidRPr="00BA3DA4">
                    <w:rPr>
                      <w:sz w:val="22"/>
                      <w:szCs w:val="22"/>
                    </w:rPr>
                    <w:t xml:space="preserve"> </w:t>
                  </w:r>
                  <w:r w:rsidRPr="00BA3DA4">
                    <w:rPr>
                      <w:iCs/>
                      <w:sz w:val="22"/>
                      <w:szCs w:val="22"/>
                    </w:rPr>
                    <w:t>launched in February 2019, will receive £15.3 million over five years</w:t>
                  </w:r>
                  <w:r w:rsidRPr="00BA3DA4">
                    <w:rPr>
                      <w:sz w:val="22"/>
                      <w:szCs w:val="22"/>
                    </w:rPr>
                    <w:t xml:space="preserve"> to examine the cultural heritage and livelihood of delta communities (</w:t>
                  </w:r>
                  <w:hyperlink r:id="rId6" w:history="1">
                    <w:r w:rsidRPr="00BA3DA4">
                      <w:rPr>
                        <w:rStyle w:val="Hyperlink"/>
                        <w:sz w:val="22"/>
                        <w:szCs w:val="22"/>
                      </w:rPr>
                      <w:t>http://www.livingdeltas.org/</w:t>
                    </w:r>
                  </w:hyperlink>
                  <w:r w:rsidRPr="00BA3DA4">
                    <w:rPr>
                      <w:sz w:val="22"/>
                      <w:szCs w:val="22"/>
                    </w:rPr>
                    <w:t xml:space="preserve">). </w:t>
                  </w:r>
                  <w:r w:rsidR="008B0F1C" w:rsidRPr="00BA3DA4">
                    <w:rPr>
                      <w:sz w:val="22"/>
                      <w:szCs w:val="22"/>
                    </w:rPr>
                    <w:t>It</w:t>
                  </w:r>
                  <w:r w:rsidRPr="00BA3DA4">
                    <w:rPr>
                      <w:iCs/>
                      <w:sz w:val="22"/>
                      <w:szCs w:val="22"/>
                    </w:rPr>
                    <w:t xml:space="preserve"> is coordinated in Newcastle University by Prof Andy Large and has over 20 partners across the </w:t>
                  </w:r>
                  <w:proofErr w:type="gramStart"/>
                  <w:r w:rsidRPr="00BA3DA4">
                    <w:rPr>
                      <w:iCs/>
                      <w:sz w:val="22"/>
                      <w:szCs w:val="22"/>
                    </w:rPr>
                    <w:t>deltas</w:t>
                  </w:r>
                  <w:proofErr w:type="gramEnd"/>
                  <w:r w:rsidRPr="00BA3DA4">
                    <w:rPr>
                      <w:iCs/>
                      <w:sz w:val="22"/>
                      <w:szCs w:val="22"/>
                    </w:rPr>
                    <w:t xml:space="preserve"> regions and beyond.</w:t>
                  </w:r>
                  <w:r w:rsidRPr="00BA3DA4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35C2EAF" w14:textId="77777777" w:rsidR="00240BF9" w:rsidRPr="00BA3DA4" w:rsidRDefault="008176E6" w:rsidP="008B0F1C">
                  <w:pPr>
                    <w:pStyle w:val="Default"/>
                    <w:spacing w:after="120"/>
                    <w:ind w:left="-108"/>
                    <w:rPr>
                      <w:iCs/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>Its</w:t>
                  </w:r>
                  <w:r w:rsidRPr="00BA3DA4">
                    <w:rPr>
                      <w:iCs/>
                      <w:sz w:val="22"/>
                      <w:szCs w:val="22"/>
                    </w:rPr>
                    <w:t xml:space="preserve"> core aim: </w:t>
                  </w:r>
                  <w:r w:rsidRPr="00BA3DA4">
                    <w:rPr>
                      <w:i/>
                      <w:iCs/>
                      <w:sz w:val="22"/>
                      <w:szCs w:val="22"/>
                    </w:rPr>
                    <w:t>a significant contribution to better sustainable development outcomes for developing countries in the region, transforming policy and practice based on new approaches to understanding delta change</w:t>
                  </w:r>
                  <w:r w:rsidRPr="00BA3DA4">
                    <w:rPr>
                      <w:iCs/>
                      <w:sz w:val="22"/>
                      <w:szCs w:val="22"/>
                    </w:rPr>
                    <w:t xml:space="preserve">. The Hub will address the significant social-ecological challenges currently facing these delta systems in a transdisciplinary manner that responds to the interlinked agenda of the UN Sustainable Development Goals (SDGs). </w:t>
                  </w:r>
                </w:p>
                <w:p w14:paraId="135C2EB0" w14:textId="77777777" w:rsidR="008176E6" w:rsidRPr="00BA3DA4" w:rsidRDefault="008176E6" w:rsidP="008B0F1C">
                  <w:pPr>
                    <w:pStyle w:val="Default"/>
                    <w:spacing w:after="120"/>
                    <w:ind w:left="-10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This post, based at Lancaster University, will work closely with a team of PDRAs at partner institutions, to generate a deeper understanding of the patterns and drivers of livelihood shifts, with specific focus on young entrepreneurs’ role in diversifying livelihoods. </w:t>
                  </w:r>
                </w:p>
                <w:p w14:paraId="135C2EB1" w14:textId="77777777" w:rsidR="001A73C0" w:rsidRPr="00BA3DA4" w:rsidRDefault="001A73C0" w:rsidP="008B0F1C">
                  <w:pPr>
                    <w:pStyle w:val="Default"/>
                    <w:spacing w:after="120"/>
                    <w:ind w:left="-108"/>
                    <w:rPr>
                      <w:sz w:val="22"/>
                      <w:szCs w:val="22"/>
                    </w:rPr>
                  </w:pPr>
                  <w:r w:rsidRPr="00BA3DA4">
                    <w:rPr>
                      <w:b/>
                      <w:bCs/>
                      <w:sz w:val="22"/>
                      <w:szCs w:val="22"/>
                    </w:rPr>
                    <w:t xml:space="preserve">Research </w:t>
                  </w:r>
                </w:p>
                <w:p w14:paraId="135C2EB2" w14:textId="75819382" w:rsidR="001635EB" w:rsidRPr="00BA3DA4" w:rsidRDefault="001635EB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To understand dimensions of and changes to livelihoods practiced in the Ganges-Brahmaputra-Meghna (GBM) delta </w:t>
                  </w:r>
                  <w:r w:rsidR="002462C3">
                    <w:rPr>
                      <w:sz w:val="22"/>
                      <w:szCs w:val="22"/>
                    </w:rPr>
                    <w:t xml:space="preserve">of Bangladesh </w:t>
                  </w:r>
                  <w:r w:rsidRPr="00BA3DA4">
                    <w:rPr>
                      <w:sz w:val="22"/>
                      <w:szCs w:val="22"/>
                    </w:rPr>
                    <w:t xml:space="preserve">and its comparability/ contrast with </w:t>
                  </w:r>
                  <w:r w:rsidR="002462C3">
                    <w:rPr>
                      <w:sz w:val="22"/>
                      <w:szCs w:val="22"/>
                    </w:rPr>
                    <w:t xml:space="preserve">GBM delta of India and </w:t>
                  </w:r>
                  <w:r w:rsidRPr="00BA3DA4">
                    <w:rPr>
                      <w:sz w:val="22"/>
                      <w:szCs w:val="22"/>
                    </w:rPr>
                    <w:t>Mekong and Red River Deltas of Vietnam.</w:t>
                  </w:r>
                </w:p>
                <w:p w14:paraId="135C2EB3" w14:textId="05A0AA6C" w:rsidR="00240BF9" w:rsidRPr="002462C3" w:rsidRDefault="008B0F1C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>A</w:t>
                  </w:r>
                  <w:r w:rsidR="001635EB" w:rsidRPr="00BA3DA4">
                    <w:rPr>
                      <w:sz w:val="22"/>
                      <w:szCs w:val="22"/>
                    </w:rPr>
                    <w:t>pply</w:t>
                  </w:r>
                  <w:r w:rsidRPr="00BA3DA4">
                    <w:rPr>
                      <w:sz w:val="22"/>
                      <w:szCs w:val="22"/>
                    </w:rPr>
                    <w:t>ing</w:t>
                  </w:r>
                  <w:r w:rsidR="001635EB" w:rsidRPr="00BA3DA4">
                    <w:rPr>
                      <w:sz w:val="22"/>
                      <w:szCs w:val="22"/>
                    </w:rPr>
                    <w:t xml:space="preserve"> a combination of social </w:t>
                  </w:r>
                  <w:r w:rsidR="001635EB" w:rsidRPr="002462C3">
                    <w:rPr>
                      <w:sz w:val="22"/>
                      <w:szCs w:val="22"/>
                    </w:rPr>
                    <w:t>science approaches</w:t>
                  </w:r>
                  <w:r w:rsidR="002462C3" w:rsidRPr="002462C3">
                    <w:rPr>
                      <w:sz w:val="22"/>
                      <w:szCs w:val="22"/>
                    </w:rPr>
                    <w:t xml:space="preserve"> (</w:t>
                  </w:r>
                  <w:proofErr w:type="gramStart"/>
                  <w:r w:rsidR="002462C3">
                    <w:rPr>
                      <w:sz w:val="22"/>
                      <w:szCs w:val="22"/>
                    </w:rPr>
                    <w:t>e.g.</w:t>
                  </w:r>
                  <w:proofErr w:type="gramEnd"/>
                  <w:r w:rsidR="002462C3" w:rsidRPr="002462C3">
                    <w:rPr>
                      <w:sz w:val="22"/>
                      <w:szCs w:val="22"/>
                    </w:rPr>
                    <w:t xml:space="preserve"> longitudinal research diary, daily activity rhythms, key incident interviews and dialogues)</w:t>
                  </w:r>
                  <w:r w:rsidRPr="002462C3">
                    <w:rPr>
                      <w:sz w:val="22"/>
                      <w:szCs w:val="22"/>
                    </w:rPr>
                    <w:t>,</w:t>
                  </w:r>
                  <w:r w:rsidR="001635EB" w:rsidRPr="002462C3">
                    <w:rPr>
                      <w:sz w:val="22"/>
                      <w:szCs w:val="22"/>
                    </w:rPr>
                    <w:t xml:space="preserve"> to </w:t>
                  </w:r>
                  <w:r w:rsidR="00240BF9" w:rsidRPr="002462C3">
                    <w:rPr>
                      <w:sz w:val="22"/>
                      <w:szCs w:val="22"/>
                    </w:rPr>
                    <w:t>document and analyse livelihood categories and instances/trajectories involving (with potential</w:t>
                  </w:r>
                  <w:r w:rsidR="00240BF9" w:rsidRPr="00BA3DA4">
                    <w:rPr>
                      <w:sz w:val="22"/>
                      <w:szCs w:val="22"/>
                    </w:rPr>
                    <w:t xml:space="preserve"> to involve) you</w:t>
                  </w:r>
                  <w:r w:rsidR="001635EB" w:rsidRPr="00BA3DA4">
                    <w:rPr>
                      <w:sz w:val="22"/>
                      <w:szCs w:val="22"/>
                    </w:rPr>
                    <w:t>ng</w:t>
                  </w:r>
                  <w:r w:rsidR="00240BF9" w:rsidRPr="00BA3DA4">
                    <w:rPr>
                      <w:sz w:val="22"/>
                      <w:szCs w:val="22"/>
                    </w:rPr>
                    <w:t xml:space="preserve"> entrepreneurs within the study communities. </w:t>
                  </w:r>
                  <w:r w:rsidRPr="00BA3DA4">
                    <w:rPr>
                      <w:sz w:val="22"/>
                      <w:szCs w:val="22"/>
                    </w:rPr>
                    <w:t>The researcher</w:t>
                  </w:r>
                  <w:r w:rsidR="001635EB" w:rsidRPr="00BA3DA4">
                    <w:rPr>
                      <w:sz w:val="22"/>
                      <w:szCs w:val="22"/>
                    </w:rPr>
                    <w:t xml:space="preserve"> will implement a</w:t>
                  </w:r>
                  <w:r w:rsidR="002462C3">
                    <w:rPr>
                      <w:sz w:val="22"/>
                      <w:szCs w:val="22"/>
                    </w:rPr>
                    <w:t xml:space="preserve">n </w:t>
                  </w:r>
                  <w:r w:rsidR="002462C3" w:rsidRPr="002462C3">
                    <w:rPr>
                      <w:sz w:val="22"/>
                      <w:szCs w:val="22"/>
                    </w:rPr>
                    <w:t>already developed methodology</w:t>
                  </w:r>
                  <w:r w:rsidR="001635EB" w:rsidRPr="002462C3">
                    <w:rPr>
                      <w:sz w:val="22"/>
                      <w:szCs w:val="22"/>
                    </w:rPr>
                    <w:t xml:space="preserve"> to examine drivers and patterns of shifts and tipping points in delta livelihoods.</w:t>
                  </w:r>
                  <w:r w:rsidR="002462C3" w:rsidRPr="002462C3">
                    <w:rPr>
                      <w:sz w:val="22"/>
                      <w:szCs w:val="22"/>
                    </w:rPr>
                    <w:t xml:space="preserve"> S/he will gather, process and analyse a large amount of qualitative and quantitative data.</w:t>
                  </w:r>
                </w:p>
                <w:p w14:paraId="135C2EB4" w14:textId="77777777" w:rsidR="001A73C0" w:rsidRPr="00BA3DA4" w:rsidRDefault="001A73C0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To publish and to work with other academic staff to publish in scholarly journals of international standings. </w:t>
                  </w:r>
                </w:p>
                <w:p w14:paraId="135C2EB5" w14:textId="77777777" w:rsidR="001A73C0" w:rsidRPr="00BA3DA4" w:rsidRDefault="001A73C0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To attend and present research and represent the interests of </w:t>
                  </w:r>
                  <w:r w:rsidR="00240BF9" w:rsidRPr="00BA3DA4">
                    <w:rPr>
                      <w:sz w:val="22"/>
                      <w:szCs w:val="22"/>
                    </w:rPr>
                    <w:t>Living Deltas Hub</w:t>
                  </w:r>
                  <w:r w:rsidRPr="00BA3DA4">
                    <w:rPr>
                      <w:sz w:val="22"/>
                      <w:szCs w:val="22"/>
                    </w:rPr>
                    <w:t xml:space="preserve"> and Lancaster University at major national and international conferences. </w:t>
                  </w:r>
                </w:p>
                <w:p w14:paraId="135C2EB6" w14:textId="77777777" w:rsidR="00240BF9" w:rsidRPr="00BA3DA4" w:rsidRDefault="00240BF9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To contribute fully to the wider activities of the Living Deltas Hub that ensure the integration of research across work-packages, partner organisations and academic disciplines. </w:t>
                  </w:r>
                </w:p>
                <w:p w14:paraId="135C2EB7" w14:textId="77777777" w:rsidR="001A73C0" w:rsidRPr="00BA3DA4" w:rsidRDefault="00240BF9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>To contribute to the Hub’s Sustainable Developm</w:t>
                  </w:r>
                  <w:r w:rsidR="001635EB" w:rsidRPr="00BA3DA4">
                    <w:rPr>
                      <w:sz w:val="22"/>
                      <w:szCs w:val="22"/>
                    </w:rPr>
                    <w:t xml:space="preserve">ent Goals (SDG) data repository and </w:t>
                  </w:r>
                  <w:r w:rsidR="001A73C0" w:rsidRPr="00BA3DA4">
                    <w:rPr>
                      <w:sz w:val="22"/>
                      <w:szCs w:val="22"/>
                    </w:rPr>
                    <w:t xml:space="preserve">be responsible for the facilitation of an online platform to aid collaboration and communication between multiple stakeholders, internally and externally. </w:t>
                  </w:r>
                </w:p>
                <w:p w14:paraId="135C2EB8" w14:textId="77777777" w:rsidR="001A73C0" w:rsidRPr="00BA3DA4" w:rsidRDefault="001A73C0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To collaborate on the identification of funding </w:t>
                  </w:r>
                  <w:r w:rsidR="008B0F1C" w:rsidRPr="00BA3DA4">
                    <w:rPr>
                      <w:sz w:val="22"/>
                      <w:szCs w:val="22"/>
                    </w:rPr>
                    <w:t>opportunities which lead</w:t>
                  </w:r>
                  <w:r w:rsidRPr="00BA3DA4">
                    <w:rPr>
                      <w:sz w:val="22"/>
                      <w:szCs w:val="22"/>
                    </w:rPr>
                    <w:t xml:space="preserve"> to </w:t>
                  </w:r>
                  <w:r w:rsidR="008B0F1C" w:rsidRPr="00BA3DA4">
                    <w:rPr>
                      <w:sz w:val="22"/>
                      <w:szCs w:val="22"/>
                    </w:rPr>
                    <w:t xml:space="preserve">further </w:t>
                  </w:r>
                  <w:r w:rsidRPr="00BA3DA4">
                    <w:rPr>
                      <w:sz w:val="22"/>
                      <w:szCs w:val="22"/>
                    </w:rPr>
                    <w:t xml:space="preserve">research and impact bids. </w:t>
                  </w:r>
                </w:p>
                <w:p w14:paraId="135C2EB9" w14:textId="77777777" w:rsidR="001635EB" w:rsidRPr="00BA3DA4" w:rsidRDefault="001A73C0" w:rsidP="008B0F1C">
                  <w:pPr>
                    <w:pStyle w:val="Default"/>
                    <w:numPr>
                      <w:ilvl w:val="0"/>
                      <w:numId w:val="5"/>
                    </w:numPr>
                    <w:spacing w:after="120"/>
                    <w:ind w:left="318" w:hanging="318"/>
                    <w:rPr>
                      <w:sz w:val="22"/>
                      <w:szCs w:val="22"/>
                    </w:rPr>
                  </w:pPr>
                  <w:r w:rsidRPr="00BA3DA4">
                    <w:rPr>
                      <w:sz w:val="22"/>
                      <w:szCs w:val="22"/>
                    </w:rPr>
                    <w:t xml:space="preserve">To be an active and enthusiastic member of the </w:t>
                  </w:r>
                  <w:r w:rsidR="001635EB" w:rsidRPr="00BA3DA4">
                    <w:rPr>
                      <w:sz w:val="22"/>
                      <w:szCs w:val="22"/>
                    </w:rPr>
                    <w:t>Living Deltas Hub</w:t>
                  </w:r>
                  <w:r w:rsidRPr="00BA3DA4">
                    <w:rPr>
                      <w:sz w:val="22"/>
                      <w:szCs w:val="22"/>
                    </w:rPr>
                    <w:t xml:space="preserve"> and contribute regularly to relevant research seminars and collaborative research activities. </w:t>
                  </w:r>
                </w:p>
              </w:tc>
            </w:tr>
          </w:tbl>
          <w:p w14:paraId="135C2EBB" w14:textId="77777777" w:rsidR="001A73C0" w:rsidRPr="00BA3DA4" w:rsidRDefault="001A73C0" w:rsidP="008B0F1C">
            <w:pPr>
              <w:spacing w:after="120"/>
              <w:rPr>
                <w:rFonts w:ascii="Calibri" w:hAnsi="Calibri"/>
                <w:szCs w:val="22"/>
              </w:rPr>
            </w:pPr>
          </w:p>
        </w:tc>
      </w:tr>
    </w:tbl>
    <w:p w14:paraId="135C2EBD" w14:textId="77777777" w:rsidR="00AF4AFE" w:rsidRPr="00857F0A" w:rsidRDefault="00AF4AFE" w:rsidP="00B9255A">
      <w:pPr>
        <w:rPr>
          <w:rFonts w:ascii="Calibri" w:hAnsi="Calibri"/>
        </w:rPr>
      </w:pPr>
    </w:p>
    <w:sectPr w:rsidR="00AF4AFE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2BE"/>
    <w:multiLevelType w:val="hybridMultilevel"/>
    <w:tmpl w:val="AF88A1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E6C13"/>
    <w:multiLevelType w:val="hybridMultilevel"/>
    <w:tmpl w:val="A270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437B"/>
    <w:multiLevelType w:val="hybridMultilevel"/>
    <w:tmpl w:val="1E10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5DCB"/>
    <w:multiLevelType w:val="hybridMultilevel"/>
    <w:tmpl w:val="DE9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29658">
    <w:abstractNumId w:val="1"/>
  </w:num>
  <w:num w:numId="2" w16cid:durableId="1438987926">
    <w:abstractNumId w:val="2"/>
  </w:num>
  <w:num w:numId="3" w16cid:durableId="1430808353">
    <w:abstractNumId w:val="4"/>
  </w:num>
  <w:num w:numId="4" w16cid:durableId="1218979136">
    <w:abstractNumId w:val="0"/>
  </w:num>
  <w:num w:numId="5" w16cid:durableId="21832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41409"/>
    <w:rsid w:val="000D364C"/>
    <w:rsid w:val="000E4CAA"/>
    <w:rsid w:val="000F6CE1"/>
    <w:rsid w:val="001404E7"/>
    <w:rsid w:val="001635EB"/>
    <w:rsid w:val="00187E8A"/>
    <w:rsid w:val="001A73C0"/>
    <w:rsid w:val="00240BF9"/>
    <w:rsid w:val="002462C3"/>
    <w:rsid w:val="002865AE"/>
    <w:rsid w:val="002A5AB7"/>
    <w:rsid w:val="002D332D"/>
    <w:rsid w:val="00351912"/>
    <w:rsid w:val="0035237F"/>
    <w:rsid w:val="003A392C"/>
    <w:rsid w:val="003B4F36"/>
    <w:rsid w:val="003C3D90"/>
    <w:rsid w:val="003F6065"/>
    <w:rsid w:val="004905B5"/>
    <w:rsid w:val="00505421"/>
    <w:rsid w:val="00524CDD"/>
    <w:rsid w:val="00530ACD"/>
    <w:rsid w:val="00541D60"/>
    <w:rsid w:val="00684E09"/>
    <w:rsid w:val="006A0657"/>
    <w:rsid w:val="00706079"/>
    <w:rsid w:val="007A2DA0"/>
    <w:rsid w:val="007E18DE"/>
    <w:rsid w:val="007E52C4"/>
    <w:rsid w:val="008176E6"/>
    <w:rsid w:val="008233C0"/>
    <w:rsid w:val="00857F0A"/>
    <w:rsid w:val="0086524C"/>
    <w:rsid w:val="008A391F"/>
    <w:rsid w:val="008B0F1C"/>
    <w:rsid w:val="008C78C0"/>
    <w:rsid w:val="009306D2"/>
    <w:rsid w:val="00934B2B"/>
    <w:rsid w:val="00947578"/>
    <w:rsid w:val="0097729E"/>
    <w:rsid w:val="00982B4A"/>
    <w:rsid w:val="00990C0D"/>
    <w:rsid w:val="0099153D"/>
    <w:rsid w:val="00A02069"/>
    <w:rsid w:val="00A274F5"/>
    <w:rsid w:val="00A374EA"/>
    <w:rsid w:val="00A72AC9"/>
    <w:rsid w:val="00AF238A"/>
    <w:rsid w:val="00AF4AFE"/>
    <w:rsid w:val="00B17620"/>
    <w:rsid w:val="00B24AEB"/>
    <w:rsid w:val="00B42F63"/>
    <w:rsid w:val="00B43C75"/>
    <w:rsid w:val="00B9255A"/>
    <w:rsid w:val="00BA3DA4"/>
    <w:rsid w:val="00C04CDE"/>
    <w:rsid w:val="00C221F0"/>
    <w:rsid w:val="00C73169"/>
    <w:rsid w:val="00D227D4"/>
    <w:rsid w:val="00D33A92"/>
    <w:rsid w:val="00DB696E"/>
    <w:rsid w:val="00DC3206"/>
    <w:rsid w:val="00DC7119"/>
    <w:rsid w:val="00DD3DD2"/>
    <w:rsid w:val="00DD5E62"/>
    <w:rsid w:val="00DF6A03"/>
    <w:rsid w:val="00E67797"/>
    <w:rsid w:val="00E84DE6"/>
    <w:rsid w:val="00EB2BEA"/>
    <w:rsid w:val="00EC65BC"/>
    <w:rsid w:val="00F21ED5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C2E9A"/>
  <w14:defaultImageDpi w14:val="300"/>
  <w15:chartTrackingRefBased/>
  <w15:docId w15:val="{048D1622-74EA-4EFF-A875-87EF915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57F0A"/>
    <w:rPr>
      <w:rFonts w:ascii="Tahoma" w:hAnsi="Tahoma" w:cs="Tahoma"/>
      <w:sz w:val="16"/>
      <w:szCs w:val="16"/>
      <w:lang w:val="en-US" w:eastAsia="x-none"/>
    </w:rPr>
  </w:style>
  <w:style w:type="paragraph" w:customStyle="1" w:styleId="ColorfulList-Accent11">
    <w:name w:val="Colorful List - Accent 11"/>
    <w:basedOn w:val="Normal"/>
    <w:uiPriority w:val="99"/>
    <w:qFormat/>
    <w:rsid w:val="00AF23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797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paragraph" w:customStyle="1" w:styleId="Default">
    <w:name w:val="Default"/>
    <w:rsid w:val="005054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locked/>
    <w:rsid w:val="001404E7"/>
    <w:rPr>
      <w:i/>
      <w:iCs/>
    </w:rPr>
  </w:style>
  <w:style w:type="character" w:styleId="Hyperlink">
    <w:name w:val="Hyperlink"/>
    <w:basedOn w:val="DefaultParagraphFont"/>
    <w:uiPriority w:val="99"/>
    <w:unhideWhenUsed/>
    <w:rsid w:val="00817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ingdelta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Burke Mckenna, Lucinda</cp:lastModifiedBy>
  <cp:revision>2</cp:revision>
  <dcterms:created xsi:type="dcterms:W3CDTF">2022-08-24T11:18:00Z</dcterms:created>
  <dcterms:modified xsi:type="dcterms:W3CDTF">2022-08-24T11:18:00Z</dcterms:modified>
</cp:coreProperties>
</file>